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563"/>
        <w:gridCol w:w="288"/>
        <w:gridCol w:w="1308"/>
        <w:gridCol w:w="2835"/>
        <w:gridCol w:w="3900"/>
      </w:tblGrid>
      <w:tr w:rsidR="00252D6E" w:rsidRPr="007344B9" w14:paraId="6D981AD4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0ED3" w14:textId="6A0887E9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Kod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Modul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96F6" w14:textId="77777777" w:rsidR="00252D6E" w:rsidRPr="00BE00E1" w:rsidRDefault="009A6B4D" w:rsidP="003C5B0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AK</w:t>
            </w:r>
            <w:r w:rsidR="00F02C12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-1201</w:t>
            </w:r>
          </w:p>
        </w:tc>
      </w:tr>
      <w:tr w:rsidR="00252D6E" w:rsidRPr="007344B9" w14:paraId="317E2614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3172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Tajuk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Modul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DB1F" w14:textId="77777777" w:rsidR="00252D6E" w:rsidRPr="00BE00E1" w:rsidRDefault="0051697C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Pengantar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Kebudayaan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Melayu</w:t>
            </w:r>
            <w:proofErr w:type="spellEnd"/>
          </w:p>
        </w:tc>
      </w:tr>
      <w:tr w:rsidR="00252D6E" w:rsidRPr="007344B9" w14:paraId="3F7A12FE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A3BB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Ijazah /Diploma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2E4D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Sarjana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Muda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Sastera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(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Kesusasteraan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Melayu</w:t>
            </w:r>
            <w:proofErr w:type="spellEnd"/>
            <w:r w:rsidR="003C5B0A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/ Bahasa </w:t>
            </w:r>
            <w:proofErr w:type="spellStart"/>
            <w:r w:rsidR="003C5B0A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Melayu</w:t>
            </w:r>
            <w:proofErr w:type="spellEnd"/>
            <w:r w:rsidR="003C5B0A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dan </w:t>
            </w:r>
            <w:proofErr w:type="spellStart"/>
            <w:r w:rsidR="003C5B0A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Linguistik</w:t>
            </w:r>
            <w:proofErr w:type="spellEnd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)</w:t>
            </w:r>
          </w:p>
        </w:tc>
      </w:tr>
      <w:tr w:rsidR="00252D6E" w:rsidRPr="007344B9" w14:paraId="5209BA36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7E01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Jenis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Modul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BD22" w14:textId="6A1AA0E2" w:rsidR="00252D6E" w:rsidRPr="00BE00E1" w:rsidRDefault="008A544D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gram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Teras </w:t>
            </w:r>
            <w:r w:rsidR="00252D6E"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r w:rsidR="009D57F6">
              <w:rPr>
                <w:rFonts w:ascii="Calibri" w:eastAsia="Times New Roman" w:hAnsi="Calibri" w:cs="Times New Roman"/>
                <w:color w:val="000000"/>
                <w:lang w:eastAsia="en-SG"/>
              </w:rPr>
              <w:t>Major</w:t>
            </w:r>
            <w:proofErr w:type="gramEnd"/>
          </w:p>
        </w:tc>
      </w:tr>
      <w:tr w:rsidR="00252D6E" w:rsidRPr="007344B9" w14:paraId="668A87DF" w14:textId="77777777" w:rsidTr="00357F84">
        <w:trPr>
          <w:jc w:val="center"/>
        </w:trPr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8301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Kredit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Modular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B1F3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A964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Jumlah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Beban </w:t>
            </w: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Tugas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</w:t>
            </w: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Pelajar</w:t>
            </w:r>
            <w:proofErr w:type="spellEnd"/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53BE" w14:textId="77777777" w:rsidR="00252D6E" w:rsidRPr="00BE00E1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SG"/>
              </w:rPr>
            </w:pPr>
            <w:r w:rsidRPr="00BE00E1">
              <w:rPr>
                <w:rFonts w:ascii="Calibri" w:eastAsia="Times New Roman" w:hAnsi="Calibri" w:cs="Times New Roman"/>
                <w:color w:val="000000"/>
                <w:lang w:val="en-GB" w:eastAsia="en-SG"/>
              </w:rPr>
              <w:t xml:space="preserve">8 jam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val="en-GB" w:eastAsia="en-SG"/>
              </w:rPr>
              <w:t>seminggu</w:t>
            </w:r>
            <w:proofErr w:type="spellEnd"/>
          </w:p>
        </w:tc>
      </w:tr>
      <w:tr w:rsidR="00252D6E" w:rsidRPr="007344B9" w14:paraId="50F5F21B" w14:textId="77777777" w:rsidTr="00357F84">
        <w:trPr>
          <w:jc w:val="center"/>
        </w:trPr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B6CC5" w14:textId="77777777" w:rsidR="00252D6E" w:rsidRPr="00BE00E1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8BDF2" w14:textId="77777777" w:rsidR="00252D6E" w:rsidRPr="00BE00E1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DAD6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Masa </w:t>
            </w:r>
            <w:proofErr w:type="spellStart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Kontak</w:t>
            </w:r>
            <w:proofErr w:type="spellEnd"/>
            <w:r w:rsidRPr="00BE00E1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            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0920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val="en-GB" w:eastAsia="en-SG"/>
              </w:rPr>
            </w:pPr>
            <w:r w:rsidRPr="00BE00E1">
              <w:rPr>
                <w:rFonts w:ascii="Calibri" w:eastAsia="Times New Roman" w:hAnsi="Calibri" w:cs="Times New Roman"/>
                <w:color w:val="000000"/>
                <w:lang w:val="en-GB" w:eastAsia="en-SG"/>
              </w:rPr>
              <w:t xml:space="preserve">4 jam </w:t>
            </w: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val="en-GB" w:eastAsia="en-SG"/>
              </w:rPr>
              <w:t>seminggu</w:t>
            </w:r>
            <w:proofErr w:type="spellEnd"/>
          </w:p>
        </w:tc>
      </w:tr>
      <w:tr w:rsidR="00252D6E" w:rsidRPr="007344B9" w14:paraId="2EA4BC9C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DBB7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Prasyarat</w:t>
            </w:r>
            <w:proofErr w:type="spellEnd"/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B028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Tiada</w:t>
            </w:r>
            <w:proofErr w:type="spellEnd"/>
          </w:p>
        </w:tc>
      </w:tr>
      <w:tr w:rsidR="00252D6E" w:rsidRPr="007344B9" w14:paraId="106F2DA0" w14:textId="77777777" w:rsidTr="00357F84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6A7E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Antisyarat</w:t>
            </w:r>
            <w:proofErr w:type="spellEnd"/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11A1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color w:val="000000"/>
                <w:lang w:eastAsia="en-SG"/>
              </w:rPr>
              <w:t>Tiada</w:t>
            </w:r>
            <w:proofErr w:type="spellEnd"/>
          </w:p>
        </w:tc>
      </w:tr>
      <w:tr w:rsidR="00252D6E" w:rsidRPr="007344B9" w14:paraId="566E3A8B" w14:textId="77777777" w:rsidTr="00357F84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13CB" w14:textId="77777777" w:rsidR="00252D6E" w:rsidRPr="00BE00E1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proofErr w:type="spellStart"/>
            <w:r w:rsidRPr="00BE00E1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Matlamat</w:t>
            </w:r>
            <w:proofErr w:type="spellEnd"/>
          </w:p>
          <w:p w14:paraId="0DFFD0EA" w14:textId="1B4DD61D" w:rsidR="0022502C" w:rsidRDefault="009804EA" w:rsidP="003F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Modul </w:t>
            </w:r>
            <w:proofErr w:type="spellStart"/>
            <w:r w:rsidRPr="00BE00E1">
              <w:rPr>
                <w:rFonts w:ascii="Calibri" w:eastAsia="Calibri" w:hAnsi="Calibri" w:cs="Times New Roman"/>
                <w:color w:val="000000"/>
                <w:lang w:val="en-US"/>
              </w:rPr>
              <w:t>ini</w:t>
            </w:r>
            <w:proofErr w:type="spellEnd"/>
            <w:r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E00E1">
              <w:rPr>
                <w:rFonts w:ascii="Calibri" w:eastAsia="Calibri" w:hAnsi="Calibri" w:cs="Times New Roman"/>
                <w:color w:val="000000"/>
                <w:lang w:val="en-US"/>
              </w:rPr>
              <w:t>m</w:t>
            </w:r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>endedahkan</w:t>
            </w:r>
            <w:proofErr w:type="spellEnd"/>
            <w:r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dan </w:t>
            </w:r>
            <w:proofErr w:type="spellStart"/>
            <w:r w:rsidR="00252D6E" w:rsidRPr="00BE00E1">
              <w:rPr>
                <w:rFonts w:ascii="Calibri" w:eastAsia="Calibri" w:hAnsi="Calibri" w:cs="Times New Roman"/>
                <w:color w:val="000000"/>
                <w:lang w:val="en-US"/>
              </w:rPr>
              <w:t>membincangkan</w:t>
            </w:r>
            <w:proofErr w:type="spellEnd"/>
            <w:r w:rsidR="00252D6E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tentang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>kebudayaan</w:t>
            </w:r>
            <w:proofErr w:type="spellEnd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>Melayu</w:t>
            </w:r>
            <w:proofErr w:type="spellEnd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dari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perspektif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yang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asas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umum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>seperti</w:t>
            </w:r>
            <w:proofErr w:type="spellEnd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konsep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definisi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="003C5B0A" w:rsidRPr="00BE00E1">
              <w:rPr>
                <w:rFonts w:ascii="Calibri" w:eastAsia="Calibri" w:hAnsi="Calibri" w:cs="Times New Roman"/>
                <w:color w:val="000000"/>
                <w:lang w:val="en-US"/>
              </w:rPr>
              <w:t>sejarah</w:t>
            </w:r>
            <w:proofErr w:type="spellEnd"/>
            <w:r w:rsidR="008A544D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</w:t>
            </w:r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perkembangan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pandangan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dunia (</w:t>
            </w:r>
            <w:r w:rsidR="003F3336" w:rsidRPr="00BE00E1">
              <w:rPr>
                <w:rFonts w:ascii="Calibri" w:eastAsia="Calibri" w:hAnsi="Calibri" w:cs="Times New Roman"/>
                <w:i/>
                <w:color w:val="000000"/>
                <w:lang w:val="en-US"/>
              </w:rPr>
              <w:t>world view</w:t>
            </w:r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),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kekeluargaan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sosial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politik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bahasa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kesusasteraan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lain-lain yang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merangkumi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korpus</w:t>
            </w:r>
            <w:proofErr w:type="spellEnd"/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r w:rsidR="0051697C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Dunia </w:t>
            </w:r>
            <w:proofErr w:type="spellStart"/>
            <w:r w:rsidR="0051697C" w:rsidRPr="00BE00E1">
              <w:rPr>
                <w:rFonts w:ascii="Calibri" w:eastAsia="Calibri" w:hAnsi="Calibri" w:cs="Times New Roman"/>
                <w:color w:val="000000"/>
                <w:lang w:val="en-US"/>
              </w:rPr>
              <w:t>Melayu</w:t>
            </w:r>
            <w:proofErr w:type="spellEnd"/>
            <w:r w:rsidR="0022502C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22502C" w:rsidRPr="00BE00E1">
              <w:rPr>
                <w:rFonts w:ascii="Calibri" w:eastAsia="Calibri" w:hAnsi="Calibri" w:cs="Times New Roman"/>
                <w:color w:val="000000"/>
                <w:lang w:val="en-US"/>
              </w:rPr>
              <w:t>termasuk</w:t>
            </w:r>
            <w:proofErr w:type="spellEnd"/>
            <w:r w:rsidR="0022502C" w:rsidRPr="00BE00E1">
              <w:rPr>
                <w:rFonts w:ascii="Calibri" w:eastAsia="Calibri" w:hAnsi="Calibri" w:cs="Times New Roman"/>
                <w:color w:val="000000"/>
                <w:lang w:val="en-US"/>
              </w:rPr>
              <w:t xml:space="preserve"> di Negara Brunei Darussalam</w:t>
            </w:r>
            <w:r w:rsidR="003F3336" w:rsidRPr="00BE00E1">
              <w:rPr>
                <w:rFonts w:ascii="Calibri" w:eastAsia="Calibri" w:hAnsi="Calibri" w:cs="Times New Roman"/>
                <w:color w:val="000000"/>
                <w:lang w:val="en-US"/>
              </w:rPr>
              <w:t>.</w:t>
            </w:r>
          </w:p>
          <w:p w14:paraId="141BE1EB" w14:textId="77777777" w:rsidR="00BC54C4" w:rsidRDefault="00BC54C4" w:rsidP="003F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  <w:p w14:paraId="79A1FCDA" w14:textId="1B790D4C" w:rsidR="00024628" w:rsidRPr="00BE00E1" w:rsidRDefault="00024628" w:rsidP="003F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</w:tr>
      <w:tr w:rsidR="00252D6E" w:rsidRPr="007344B9" w14:paraId="0B799301" w14:textId="77777777" w:rsidTr="00357F84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D05E" w14:textId="77777777" w:rsidR="00252D6E" w:rsidRPr="0022502C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7344B9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Hasil </w:t>
            </w: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Pembelajaran</w:t>
            </w:r>
            <w:proofErr w:type="spellEnd"/>
          </w:p>
          <w:p w14:paraId="7BEE993C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Setelah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pelajar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melengkapkan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modul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ini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,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pelajar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akan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dapat</w:t>
            </w:r>
            <w:proofErr w:type="spellEnd"/>
            <w:r w:rsidRPr="007344B9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:</w:t>
            </w:r>
          </w:p>
        </w:tc>
      </w:tr>
      <w:tr w:rsidR="00252D6E" w:rsidRPr="007344B9" w14:paraId="4C06A1E6" w14:textId="77777777" w:rsidTr="00357F84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0938BF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Aras </w:t>
            </w: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Rendah</w:t>
            </w:r>
            <w:proofErr w:type="spellEnd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D2D7BF" w14:textId="77777777" w:rsidR="00252D6E" w:rsidRPr="007344B9" w:rsidRDefault="00252D6E" w:rsidP="00357F8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30%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1AB847E" w14:textId="77777777" w:rsidR="00252D6E" w:rsidRPr="00C0431E" w:rsidRDefault="00CD1DDF" w:rsidP="0034002B">
            <w:pPr>
              <w:numPr>
                <w:ilvl w:val="0"/>
                <w:numId w:val="1"/>
              </w:numPr>
              <w:spacing w:after="0" w:line="288" w:lineRule="auto"/>
              <w:ind w:left="480" w:right="120" w:hanging="343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val="en-US" w:eastAsia="en-SG"/>
              </w:rPr>
            </w:pPr>
            <w:proofErr w:type="spellStart"/>
            <w:r>
              <w:t>memperjelaskan</w:t>
            </w:r>
            <w:proofErr w:type="spellEnd"/>
            <w:r w:rsidR="00252D6E"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definisi</w:t>
            </w:r>
            <w:proofErr w:type="spellEnd"/>
            <w:r>
              <w:t xml:space="preserve">, </w:t>
            </w:r>
            <w:proofErr w:type="spellStart"/>
            <w:r w:rsidR="003F3336">
              <w:t>ciri-ciri</w:t>
            </w:r>
            <w:proofErr w:type="spellEnd"/>
            <w:r w:rsidR="003F3336">
              <w:t xml:space="preserve"> </w:t>
            </w:r>
            <w:r>
              <w:t xml:space="preserve">dan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 w:rsidR="003F3336">
              <w:t>kebudayaan</w:t>
            </w:r>
            <w:proofErr w:type="spellEnd"/>
            <w:r w:rsidR="003F3336">
              <w:t xml:space="preserve"> </w:t>
            </w:r>
            <w:proofErr w:type="spellStart"/>
            <w:r w:rsidR="003F3336">
              <w:t>Melayu</w:t>
            </w:r>
            <w:proofErr w:type="spellEnd"/>
          </w:p>
        </w:tc>
      </w:tr>
      <w:tr w:rsidR="00252D6E" w:rsidRPr="007344B9" w14:paraId="2120017A" w14:textId="77777777" w:rsidTr="00357F84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7DE360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Aras </w:t>
            </w:r>
            <w:proofErr w:type="spellStart"/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Sederhana</w:t>
            </w:r>
            <w:proofErr w:type="spellEnd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88A627" w14:textId="77777777" w:rsidR="00252D6E" w:rsidRPr="007344B9" w:rsidRDefault="00252D6E" w:rsidP="00357F8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40%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A5AFC8F" w14:textId="77777777" w:rsidR="00C0431E" w:rsidRPr="00C0431E" w:rsidRDefault="00CD1DDF" w:rsidP="0034002B">
            <w:pPr>
              <w:numPr>
                <w:ilvl w:val="0"/>
                <w:numId w:val="4"/>
              </w:numPr>
              <w:spacing w:before="40" w:after="40" w:line="240" w:lineRule="auto"/>
              <w:ind w:left="480" w:right="120" w:hanging="34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n-US" w:eastAsia="en-SG"/>
              </w:rPr>
            </w:pP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dan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kebudayaan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aspek-aspek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lain </w:t>
            </w:r>
            <w:proofErr w:type="spellStart"/>
            <w:r>
              <w:t>umpamanya</w:t>
            </w:r>
            <w:proofErr w:type="spellEnd"/>
            <w:r>
              <w:t xml:space="preserve"> </w:t>
            </w:r>
            <w:proofErr w:type="spellStart"/>
            <w:r w:rsidR="00C0431E">
              <w:t>pandangan</w:t>
            </w:r>
            <w:proofErr w:type="spellEnd"/>
            <w:r w:rsidR="00C0431E">
              <w:t xml:space="preserve"> dunia (</w:t>
            </w:r>
            <w:r w:rsidR="00C0431E">
              <w:rPr>
                <w:i/>
              </w:rPr>
              <w:t xml:space="preserve">world </w:t>
            </w:r>
            <w:r w:rsidR="00C0431E" w:rsidRPr="003F3336">
              <w:t>view</w:t>
            </w:r>
            <w:r w:rsidR="00C0431E">
              <w:t xml:space="preserve">) </w:t>
            </w:r>
            <w:proofErr w:type="spellStart"/>
            <w:r w:rsidR="00C0431E">
              <w:t>masyarakat</w:t>
            </w:r>
            <w:proofErr w:type="spellEnd"/>
            <w:r w:rsidR="00C0431E">
              <w:t xml:space="preserve"> </w:t>
            </w:r>
            <w:proofErr w:type="spellStart"/>
            <w:r w:rsidR="00C0431E">
              <w:t>Melayu</w:t>
            </w:r>
            <w:proofErr w:type="spellEnd"/>
            <w:r w:rsidR="00C0431E">
              <w:t xml:space="preserve"> di Dunia </w:t>
            </w:r>
            <w:proofErr w:type="spellStart"/>
            <w:r w:rsidR="00C0431E">
              <w:t>Melayu</w:t>
            </w:r>
            <w:proofErr w:type="spellEnd"/>
            <w:r w:rsidR="00C0431E">
              <w:t xml:space="preserve"> </w:t>
            </w:r>
            <w:proofErr w:type="spellStart"/>
            <w:r w:rsidR="00C0431E">
              <w:t>termasuklah</w:t>
            </w:r>
            <w:proofErr w:type="spellEnd"/>
            <w:r w:rsidR="00C0431E">
              <w:t xml:space="preserve"> Negara Brunei Darussalam</w:t>
            </w:r>
          </w:p>
          <w:p w14:paraId="1F97E45A" w14:textId="77777777" w:rsidR="00C0431E" w:rsidRPr="00C0431E" w:rsidRDefault="00252D6E" w:rsidP="0034002B">
            <w:pPr>
              <w:numPr>
                <w:ilvl w:val="0"/>
                <w:numId w:val="4"/>
              </w:numPr>
              <w:spacing w:before="40" w:after="40" w:line="240" w:lineRule="auto"/>
              <w:ind w:left="480" w:right="120" w:hanging="34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n-US" w:eastAsia="en-SG"/>
              </w:rPr>
            </w:pP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r w:rsidR="00166859">
              <w:t>kefahaman</w:t>
            </w:r>
            <w:proofErr w:type="spellEnd"/>
            <w:r w:rsidR="00166859">
              <w:t xml:space="preserve"> dan </w:t>
            </w:r>
            <w:proofErr w:type="spellStart"/>
            <w:r w:rsidR="00166859">
              <w:t>pengetahuan</w:t>
            </w:r>
            <w:proofErr w:type="spellEnd"/>
            <w:r w:rsidR="00166859">
              <w:t xml:space="preserve"> </w:t>
            </w:r>
            <w:proofErr w:type="spellStart"/>
            <w:r w:rsidR="00166859">
              <w:t>tentang</w:t>
            </w:r>
            <w:proofErr w:type="spellEnd"/>
            <w:r w:rsidR="00166859">
              <w:t xml:space="preserve"> </w:t>
            </w:r>
            <w:proofErr w:type="spellStart"/>
            <w:r w:rsidR="00166859">
              <w:t>kebudyaan</w:t>
            </w:r>
            <w:proofErr w:type="spellEnd"/>
            <w:r w:rsidR="00166859">
              <w:t xml:space="preserve"> </w:t>
            </w:r>
            <w:proofErr w:type="spellStart"/>
            <w:r w:rsidR="00166859">
              <w:t>Melayu</w:t>
            </w:r>
            <w:proofErr w:type="spellEnd"/>
            <w:r w:rsidR="00166859">
              <w:t xml:space="preserve"> </w:t>
            </w:r>
            <w:r>
              <w:t xml:space="preserve">yang </w:t>
            </w:r>
            <w:proofErr w:type="spellStart"/>
            <w:r>
              <w:t>diajar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 w:rsidR="00166859">
              <w:t>Melayu</w:t>
            </w:r>
            <w:proofErr w:type="spellEnd"/>
            <w:r w:rsidR="00166859">
              <w:t xml:space="preserve"> di Dunia </w:t>
            </w:r>
            <w:proofErr w:type="spellStart"/>
            <w:r w:rsidR="00166859">
              <w:t>Melayu</w:t>
            </w:r>
            <w:proofErr w:type="spellEnd"/>
            <w:r w:rsidR="00166859">
              <w:t>.</w:t>
            </w:r>
          </w:p>
        </w:tc>
      </w:tr>
      <w:tr w:rsidR="00252D6E" w:rsidRPr="007344B9" w14:paraId="5A072156" w14:textId="77777777" w:rsidTr="00357F84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5624F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Aras Tinggi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hideMark/>
          </w:tcPr>
          <w:p w14:paraId="71F96B5B" w14:textId="77777777" w:rsidR="00252D6E" w:rsidRPr="007344B9" w:rsidRDefault="00252D6E" w:rsidP="00357F8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30%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898692A" w14:textId="77777777" w:rsidR="00252D6E" w:rsidRPr="00C72739" w:rsidRDefault="00252D6E" w:rsidP="0034002B">
            <w:pPr>
              <w:numPr>
                <w:ilvl w:val="0"/>
                <w:numId w:val="3"/>
              </w:numPr>
              <w:spacing w:after="0" w:line="288" w:lineRule="auto"/>
              <w:ind w:left="480" w:right="120" w:hanging="343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val="en-US" w:eastAsia="en-SG"/>
              </w:rPr>
            </w:pPr>
            <w:proofErr w:type="spellStart"/>
            <w:r>
              <w:t>Menilai</w:t>
            </w:r>
            <w:proofErr w:type="spellEnd"/>
            <w:r>
              <w:t xml:space="preserve"> d</w:t>
            </w:r>
            <w:r w:rsidR="00166859">
              <w:t xml:space="preserve">an </w:t>
            </w:r>
            <w:proofErr w:type="spellStart"/>
            <w:r w:rsidR="00166859">
              <w:t>menghujah</w:t>
            </w:r>
            <w:proofErr w:type="spellEnd"/>
            <w:r w:rsidR="00166859">
              <w:t xml:space="preserve"> </w:t>
            </w:r>
            <w:proofErr w:type="spellStart"/>
            <w:r w:rsidR="00166859">
              <w:t>kepentingan</w:t>
            </w:r>
            <w:proofErr w:type="spellEnd"/>
            <w:r w:rsidR="00166859">
              <w:t xml:space="preserve"> </w:t>
            </w:r>
            <w:proofErr w:type="spellStart"/>
            <w:r w:rsidR="00166859">
              <w:t>kebudayaan</w:t>
            </w:r>
            <w:proofErr w:type="spellEnd"/>
            <w:r w:rsidR="00166859">
              <w:t xml:space="preserve"> </w:t>
            </w:r>
            <w:proofErr w:type="spellStart"/>
            <w:r w:rsidR="00166859">
              <w:t>Melayu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teks</w:t>
            </w:r>
            <w:proofErr w:type="spellEnd"/>
            <w:r>
              <w:t xml:space="preserve"> </w:t>
            </w:r>
            <w:r w:rsidR="00166859">
              <w:t xml:space="preserve">dan </w:t>
            </w:r>
            <w:proofErr w:type="spellStart"/>
            <w:r w:rsidR="00166859">
              <w:t>persekitaran</w:t>
            </w:r>
            <w:proofErr w:type="spellEnd"/>
            <w:r w:rsidR="00166859">
              <w:t xml:space="preserve"> </w:t>
            </w:r>
            <w:r>
              <w:t xml:space="preserve">yang </w:t>
            </w:r>
            <w:proofErr w:type="spellStart"/>
            <w:r>
              <w:t>dikaji</w:t>
            </w:r>
            <w:proofErr w:type="spellEnd"/>
            <w:r>
              <w:t>.</w:t>
            </w:r>
          </w:p>
        </w:tc>
      </w:tr>
      <w:tr w:rsidR="00252D6E" w:rsidRPr="007344B9" w14:paraId="48FD96F4" w14:textId="77777777" w:rsidTr="00C7404F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6332A3" w14:textId="1E7BC89F" w:rsidR="00565864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Kandungan</w:t>
            </w:r>
            <w:proofErr w:type="spellEnd"/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 xml:space="preserve"> Modul</w:t>
            </w:r>
          </w:p>
          <w:p w14:paraId="57482AFB" w14:textId="77777777" w:rsidR="00252D6E" w:rsidRPr="00166859" w:rsidRDefault="00166859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  <w:p w14:paraId="06A5C7CA" w14:textId="77777777" w:rsidR="00166859" w:rsidRPr="00166859" w:rsidRDefault="00166859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t xml:space="preserve">Masyarakat, </w:t>
            </w:r>
            <w:proofErr w:type="spellStart"/>
            <w:r>
              <w:t>Budaya</w:t>
            </w:r>
            <w:proofErr w:type="spellEnd"/>
            <w:r>
              <w:t xml:space="preserve"> dan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</w:p>
          <w:p w14:paraId="20EE3360" w14:textId="77777777" w:rsidR="00166859" w:rsidRPr="00166859" w:rsidRDefault="00166859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t xml:space="preserve">Sejarah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kebudayaan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</w:p>
          <w:p w14:paraId="6D35BD0B" w14:textId="77777777" w:rsidR="00166859" w:rsidRPr="00166859" w:rsidRDefault="00166859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t xml:space="preserve">Agama Islam, </w:t>
            </w:r>
            <w:proofErr w:type="spellStart"/>
            <w:r>
              <w:t>adat</w:t>
            </w:r>
            <w:proofErr w:type="spellEnd"/>
            <w:r>
              <w:t xml:space="preserve">, </w:t>
            </w:r>
            <w:proofErr w:type="spellStart"/>
            <w:r>
              <w:t>kepercayaan</w:t>
            </w:r>
            <w:proofErr w:type="spellEnd"/>
            <w:r>
              <w:t xml:space="preserve"> dan </w:t>
            </w:r>
            <w:proofErr w:type="spellStart"/>
            <w:r>
              <w:t>perubatan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</w:p>
          <w:p w14:paraId="41A240AA" w14:textId="77777777" w:rsidR="00166859" w:rsidRPr="00166859" w:rsidRDefault="00166859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persanakan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</w:p>
          <w:p w14:paraId="0897825E" w14:textId="77777777" w:rsidR="00166859" w:rsidRDefault="00263B76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Sistem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kerajaan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Melayu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pentadbiran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perdagangan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</w:p>
          <w:p w14:paraId="37710400" w14:textId="77777777" w:rsidR="00263B76" w:rsidRPr="00C72739" w:rsidRDefault="00263B76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Bahasa,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sastera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kesenian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Melayu</w:t>
            </w:r>
            <w:proofErr w:type="spellEnd"/>
          </w:p>
          <w:p w14:paraId="1BBFB8F2" w14:textId="71DE8144" w:rsidR="00252D6E" w:rsidRDefault="00263B76" w:rsidP="00565864">
            <w:pPr>
              <w:numPr>
                <w:ilvl w:val="0"/>
                <w:numId w:val="3"/>
              </w:numPr>
              <w:spacing w:after="0" w:line="240" w:lineRule="auto"/>
              <w:ind w:left="744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Globalisasi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isu-isu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cabaran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dan masa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val="en-US"/>
              </w:rPr>
              <w:t>depan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val="en-US"/>
              </w:rPr>
              <w:t xml:space="preserve"> </w:t>
            </w:r>
          </w:p>
          <w:p w14:paraId="00120359" w14:textId="77777777" w:rsidR="00776358" w:rsidRDefault="00776358" w:rsidP="00565864">
            <w:pPr>
              <w:spacing w:after="0" w:line="240" w:lineRule="auto"/>
              <w:ind w:left="420" w:hanging="360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  <w:p w14:paraId="05B34227" w14:textId="29FE4C3E" w:rsidR="00024628" w:rsidRPr="00263B76" w:rsidRDefault="00024628" w:rsidP="00024628">
            <w:pPr>
              <w:spacing w:after="0" w:line="240" w:lineRule="auto"/>
              <w:ind w:left="60"/>
              <w:contextualSpacing/>
              <w:jc w:val="both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</w:tr>
      <w:tr w:rsidR="00252D6E" w:rsidRPr="007344B9" w14:paraId="325623A5" w14:textId="77777777" w:rsidTr="00357F84">
        <w:trPr>
          <w:jc w:val="center"/>
        </w:trPr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DEBD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  <w:t>Penilaian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D92B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Penilaian</w:t>
            </w:r>
            <w:proofErr w:type="spellEnd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Formatif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1EAA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Perbincangan</w:t>
            </w:r>
            <w:proofErr w:type="spellEnd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dan </w:t>
            </w:r>
            <w:proofErr w:type="spellStart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maklum</w:t>
            </w:r>
            <w:proofErr w:type="spellEnd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balas</w:t>
            </w:r>
            <w:proofErr w:type="spellEnd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mingguan</w:t>
            </w:r>
            <w:proofErr w:type="spellEnd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. </w:t>
            </w:r>
          </w:p>
        </w:tc>
      </w:tr>
      <w:tr w:rsidR="00252D6E" w:rsidRPr="007344B9" w14:paraId="2B6F647E" w14:textId="77777777" w:rsidTr="00357F84">
        <w:trPr>
          <w:trHeight w:val="431"/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DA23A26" w14:textId="77777777" w:rsidR="00252D6E" w:rsidRPr="007344B9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215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890A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Penilaian</w:t>
            </w:r>
            <w:proofErr w:type="spellEnd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 xml:space="preserve"> </w:t>
            </w: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Sumatif</w:t>
            </w:r>
            <w:proofErr w:type="spellEnd"/>
          </w:p>
        </w:tc>
        <w:tc>
          <w:tcPr>
            <w:tcW w:w="6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182E" w14:textId="77777777" w:rsidR="00252D6E" w:rsidRPr="007344B9" w:rsidRDefault="00252D6E" w:rsidP="00357F84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</w:pPr>
            <w:proofErr w:type="spellStart"/>
            <w:r w:rsidRPr="007344B9"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Peperiksaan</w:t>
            </w:r>
            <w:proofErr w:type="spellEnd"/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: 50%</w:t>
            </w:r>
          </w:p>
        </w:tc>
      </w:tr>
      <w:tr w:rsidR="00252D6E" w:rsidRPr="007344B9" w14:paraId="2FC70E87" w14:textId="77777777" w:rsidTr="00C7404F">
        <w:trPr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6F100F" w14:textId="77777777" w:rsidR="00252D6E" w:rsidRPr="007344B9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215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C80AEF" w14:textId="77777777" w:rsidR="00252D6E" w:rsidRPr="007344B9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  <w:tc>
          <w:tcPr>
            <w:tcW w:w="67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337C" w14:textId="77777777" w:rsidR="00252D6E" w:rsidRPr="007344B9" w:rsidRDefault="00252D6E" w:rsidP="00357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b/>
                <w:color w:val="000000"/>
                <w:lang w:val="ms-MY"/>
              </w:rPr>
              <w:t>Kerja Kursus</w:t>
            </w:r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: 50 %   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</w:t>
            </w:r>
          </w:p>
          <w:p w14:paraId="01BC12E3" w14:textId="68C4DFFA" w:rsidR="00252D6E" w:rsidRPr="007344B9" w:rsidRDefault="00252D6E" w:rsidP="00357F8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2 </w:t>
            </w:r>
            <w:r w:rsidR="00263B76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Esei Pendek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individu                        30% </w:t>
            </w:r>
          </w:p>
          <w:p w14:paraId="272D453D" w14:textId="2457E5D9" w:rsidR="00252D6E" w:rsidRPr="007344B9" w:rsidRDefault="00252D6E" w:rsidP="00357F8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>1 Laporan berkumpulan</w:t>
            </w:r>
            <w:r w:rsidR="007403E5">
              <w:rPr>
                <w:rFonts w:ascii="Calibri" w:eastAsia="Times New Roman" w:hAnsi="Calibri" w:cs="Times New Roman"/>
                <w:color w:val="000000"/>
                <w:lang w:val="ms-MY"/>
              </w:rPr>
              <w:t>/Ujian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       </w:t>
            </w:r>
            <w:r w:rsidR="00263B76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10%  </w:t>
            </w:r>
          </w:p>
          <w:p w14:paraId="0EC6068A" w14:textId="1E97D7EF" w:rsidR="00252D6E" w:rsidRPr="007344B9" w:rsidRDefault="00252D6E" w:rsidP="00357F8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1 Pembentangan berkumpulan     </w:t>
            </w:r>
            <w:r w:rsidR="00263B76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 </w:t>
            </w:r>
            <w:r w:rsidR="00867B14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>10%</w:t>
            </w:r>
          </w:p>
          <w:p w14:paraId="5DF58A4A" w14:textId="77777777" w:rsidR="00252D6E" w:rsidRPr="007344B9" w:rsidRDefault="00252D6E" w:rsidP="00357F84">
            <w:pPr>
              <w:spacing w:after="0" w:line="240" w:lineRule="auto"/>
              <w:ind w:left="420"/>
              <w:contextualSpacing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</w:tr>
      <w:tr w:rsidR="00C248CA" w:rsidRPr="007344B9" w14:paraId="341F99E4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43FE" w14:textId="105F4941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Module Code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6DFF" w14:textId="77777777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>AK-1201</w:t>
            </w:r>
          </w:p>
        </w:tc>
      </w:tr>
      <w:tr w:rsidR="00C248CA" w:rsidRPr="007344B9" w14:paraId="50BFB0CF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99E4" w14:textId="716DA521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Module Title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A667" w14:textId="44C903CC" w:rsidR="00C248CA" w:rsidRPr="007344B9" w:rsidRDefault="0027264E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>Introduction to Malay Culture</w:t>
            </w:r>
          </w:p>
        </w:tc>
      </w:tr>
      <w:tr w:rsidR="00C248CA" w:rsidRPr="007344B9" w14:paraId="40239508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48C" w14:textId="34EE7D42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Degree/Diploma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1669" w14:textId="5788DC31" w:rsidR="00C248CA" w:rsidRPr="007344B9" w:rsidRDefault="00F363C7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Bachelor of Arts </w:t>
            </w:r>
            <w:r w:rsidR="00C248CA">
              <w:rPr>
                <w:rFonts w:ascii="Calibri" w:eastAsia="Times New Roman" w:hAnsi="Calibri" w:cs="Times New Roman"/>
                <w:color w:val="000000"/>
                <w:lang w:eastAsia="en-SG"/>
              </w:rPr>
              <w:t>(</w:t>
            </w:r>
            <w:r w:rsidR="0027264E">
              <w:rPr>
                <w:rFonts w:ascii="Calibri" w:eastAsia="Times New Roman" w:hAnsi="Calibri" w:cs="Times New Roman"/>
                <w:color w:val="000000"/>
                <w:lang w:eastAsia="en-SG"/>
              </w:rPr>
              <w:t>Malay Literature</w:t>
            </w:r>
            <w:r w:rsidR="00C248CA">
              <w:rPr>
                <w:rFonts w:ascii="Calibri" w:eastAsia="Times New Roman" w:hAnsi="Calibri" w:cs="Times New Roman"/>
                <w:color w:val="000000"/>
                <w:lang w:eastAsia="en-SG"/>
              </w:rPr>
              <w:t>/</w:t>
            </w:r>
            <w:r w:rsidR="0027264E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Malay Language and </w:t>
            </w:r>
            <w:r w:rsidR="00C248CA">
              <w:rPr>
                <w:rFonts w:ascii="Calibri" w:eastAsia="Times New Roman" w:hAnsi="Calibri" w:cs="Times New Roman"/>
                <w:color w:val="000000"/>
                <w:lang w:eastAsia="en-SG"/>
              </w:rPr>
              <w:t>Linguisti</w:t>
            </w:r>
            <w:r w:rsidR="0027264E">
              <w:rPr>
                <w:rFonts w:ascii="Calibri" w:eastAsia="Times New Roman" w:hAnsi="Calibri" w:cs="Times New Roman"/>
                <w:color w:val="000000"/>
                <w:lang w:eastAsia="en-SG"/>
              </w:rPr>
              <w:t>c</w:t>
            </w:r>
            <w:r w:rsidR="00C248CA">
              <w:rPr>
                <w:rFonts w:ascii="Calibri" w:eastAsia="Times New Roman" w:hAnsi="Calibri" w:cs="Times New Roman"/>
                <w:color w:val="000000"/>
                <w:lang w:eastAsia="en-SG"/>
              </w:rPr>
              <w:t>)</w:t>
            </w:r>
          </w:p>
        </w:tc>
      </w:tr>
      <w:tr w:rsidR="00C248CA" w:rsidRPr="007344B9" w14:paraId="595C625C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3A69" w14:textId="371FD06F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Module Type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9434" w14:textId="7CF220AB" w:rsidR="00C248CA" w:rsidRPr="007344B9" w:rsidRDefault="009D57F6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Major </w:t>
            </w:r>
            <w:r w:rsidR="00B668B9">
              <w:rPr>
                <w:rFonts w:ascii="Calibri" w:eastAsia="Times New Roman" w:hAnsi="Calibri" w:cs="Times New Roman"/>
                <w:color w:val="000000"/>
                <w:lang w:eastAsia="en-SG"/>
              </w:rPr>
              <w:t>Core</w:t>
            </w:r>
          </w:p>
        </w:tc>
      </w:tr>
      <w:tr w:rsidR="00B668B9" w:rsidRPr="007344B9" w14:paraId="14F80715" w14:textId="77777777" w:rsidTr="003A4DEC">
        <w:trPr>
          <w:jc w:val="center"/>
        </w:trPr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4A99" w14:textId="49DB1782" w:rsidR="00B668B9" w:rsidRPr="007344B9" w:rsidRDefault="00B668B9" w:rsidP="00B668B9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Modular Credits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ADFD" w14:textId="77777777" w:rsidR="00B668B9" w:rsidRPr="007344B9" w:rsidRDefault="00B668B9" w:rsidP="00B668B9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BE04" w14:textId="4DEBA108" w:rsidR="00B668B9" w:rsidRPr="007344B9" w:rsidRDefault="00B668B9" w:rsidP="00B668B9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</w:t>
            </w:r>
            <w:r w:rsidR="009D57F6">
              <w:rPr>
                <w:b/>
                <w:color w:val="000000"/>
                <w:sz w:val="20"/>
                <w:szCs w:val="20"/>
              </w:rPr>
              <w:t xml:space="preserve">Student </w:t>
            </w:r>
            <w:r>
              <w:rPr>
                <w:b/>
                <w:color w:val="000000"/>
                <w:sz w:val="20"/>
                <w:szCs w:val="20"/>
              </w:rPr>
              <w:t>Workload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8A01" w14:textId="1569D465" w:rsidR="00B668B9" w:rsidRPr="007344B9" w:rsidRDefault="00B668B9" w:rsidP="00B6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SG"/>
              </w:rPr>
            </w:pPr>
            <w:r>
              <w:rPr>
                <w:color w:val="000000"/>
                <w:sz w:val="20"/>
                <w:szCs w:val="20"/>
              </w:rPr>
              <w:t>8 hrs/week</w:t>
            </w:r>
          </w:p>
        </w:tc>
      </w:tr>
      <w:tr w:rsidR="00B668B9" w:rsidRPr="007344B9" w14:paraId="12EF3304" w14:textId="77777777" w:rsidTr="003A4DEC">
        <w:trPr>
          <w:jc w:val="center"/>
        </w:trPr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46562" w14:textId="77777777" w:rsidR="00B668B9" w:rsidRPr="007344B9" w:rsidRDefault="00B668B9" w:rsidP="00B668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20F49" w14:textId="77777777" w:rsidR="00B668B9" w:rsidRPr="007344B9" w:rsidRDefault="00B668B9" w:rsidP="00B66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1D38" w14:textId="4D8C1389" w:rsidR="00B668B9" w:rsidRPr="007344B9" w:rsidRDefault="00B668B9" w:rsidP="00B668B9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Contact </w:t>
            </w:r>
            <w:r w:rsidR="009D57F6">
              <w:rPr>
                <w:b/>
                <w:color w:val="000000"/>
                <w:sz w:val="20"/>
                <w:szCs w:val="20"/>
              </w:rPr>
              <w:t>Hours</w:t>
            </w:r>
            <w:r>
              <w:rPr>
                <w:b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9B92" w14:textId="3316C918" w:rsidR="00B668B9" w:rsidRPr="007344B9" w:rsidRDefault="00B668B9" w:rsidP="00B668B9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val="en-GB" w:eastAsia="en-SG"/>
              </w:rPr>
            </w:pPr>
            <w:r>
              <w:rPr>
                <w:color w:val="000000"/>
                <w:sz w:val="20"/>
                <w:szCs w:val="20"/>
              </w:rPr>
              <w:t>4 hrs/week</w:t>
            </w:r>
          </w:p>
        </w:tc>
      </w:tr>
      <w:tr w:rsidR="00C248CA" w:rsidRPr="007344B9" w14:paraId="37AB3477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E768" w14:textId="274FBAA7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Pre-requisite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8181" w14:textId="7D3E45D9" w:rsidR="00C248CA" w:rsidRPr="007344B9" w:rsidRDefault="00BE00E1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>None</w:t>
            </w:r>
          </w:p>
        </w:tc>
      </w:tr>
      <w:tr w:rsidR="00C248CA" w:rsidRPr="007344B9" w14:paraId="1375EE50" w14:textId="77777777" w:rsidTr="00EC5CBF">
        <w:trPr>
          <w:jc w:val="center"/>
        </w:trPr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83C9" w14:textId="14E5CFBB" w:rsidR="00C248CA" w:rsidRPr="007344B9" w:rsidRDefault="00C248CA" w:rsidP="00C248CA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>
              <w:rPr>
                <w:b/>
                <w:color w:val="000000"/>
                <w:sz w:val="20"/>
                <w:szCs w:val="20"/>
              </w:rPr>
              <w:t>Anti-requisite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8597" w14:textId="145FCF72" w:rsidR="00C248CA" w:rsidRPr="007344B9" w:rsidRDefault="00BE00E1" w:rsidP="00C248CA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SG"/>
              </w:rPr>
              <w:t>None</w:t>
            </w:r>
          </w:p>
        </w:tc>
      </w:tr>
      <w:tr w:rsidR="00015C42" w:rsidRPr="007344B9" w14:paraId="6E0C03C1" w14:textId="77777777" w:rsidTr="00EC5CBF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4197" w14:textId="17D989C3" w:rsidR="00015C42" w:rsidRPr="007344B9" w:rsidRDefault="009024EE" w:rsidP="00EC5CBF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Aims</w:t>
            </w:r>
          </w:p>
          <w:p w14:paraId="0FE83CE4" w14:textId="1E3F980D" w:rsidR="00F14A33" w:rsidRDefault="000965D3" w:rsidP="00EC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965D3">
              <w:rPr>
                <w:rFonts w:eastAsia="Times New Roman" w:cstheme="minorHAnsi"/>
                <w:color w:val="000000"/>
                <w:lang w:val="en-US"/>
              </w:rPr>
              <w:t xml:space="preserve">This module explores and discusses Malay culture from a fundamental and broad perspective </w:t>
            </w:r>
            <w:r w:rsidR="00206006" w:rsidRPr="00206006">
              <w:rPr>
                <w:rFonts w:eastAsia="Times New Roman" w:cstheme="minorHAnsi"/>
                <w:color w:val="000000"/>
                <w:lang w:val="en-US"/>
              </w:rPr>
              <w:t>that covers concepts and definitions, history and development, worldview, family, social, and politics, as well as language and literature found throughout the Malay world,</w:t>
            </w:r>
            <w:r w:rsidRPr="000965D3">
              <w:rPr>
                <w:rFonts w:eastAsia="Times New Roman" w:cstheme="minorHAnsi"/>
                <w:color w:val="000000"/>
                <w:lang w:val="en-US"/>
              </w:rPr>
              <w:t xml:space="preserve"> including Brunei Darussalam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2434EC9" w14:textId="77777777" w:rsidR="00921759" w:rsidRDefault="00921759" w:rsidP="00EC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B94FF1F" w14:textId="684DE8C8" w:rsidR="000965D3" w:rsidRPr="000965D3" w:rsidRDefault="000965D3" w:rsidP="00EC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15C42" w:rsidRPr="007344B9" w14:paraId="12C433DC" w14:textId="77777777" w:rsidTr="00EC5CBF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E57E" w14:textId="6C1CB5DA" w:rsidR="00015C42" w:rsidRPr="0022502C" w:rsidRDefault="003C1B5D" w:rsidP="00EC5CBF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Learning Outcomes</w:t>
            </w:r>
          </w:p>
          <w:p w14:paraId="3088FFA5" w14:textId="136F7976" w:rsidR="00015C42" w:rsidRPr="007344B9" w:rsidRDefault="009D57F6" w:rsidP="00EC5CBF">
            <w:pPr>
              <w:spacing w:after="0" w:line="288" w:lineRule="auto"/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</w:pPr>
            <w:r w:rsidRPr="009D57F6">
              <w:rPr>
                <w:rFonts w:eastAsia="Times New Roman" w:cs="Arial"/>
                <w:bCs/>
                <w:i/>
                <w:szCs w:val="24"/>
                <w:lang w:eastAsia="en-SG"/>
              </w:rPr>
              <w:t>On successful completion of this module, a student will be expected to be able to</w:t>
            </w:r>
            <w:r w:rsidRPr="009D57F6">
              <w:rPr>
                <w:rFonts w:eastAsia="Times New Roman" w:cs="Arial"/>
                <w:bCs/>
                <w:szCs w:val="24"/>
                <w:lang w:eastAsia="en-SG"/>
              </w:rPr>
              <w:t>:</w:t>
            </w:r>
          </w:p>
        </w:tc>
      </w:tr>
      <w:tr w:rsidR="00C244E1" w:rsidRPr="007344B9" w14:paraId="5F0EB096" w14:textId="77777777" w:rsidTr="007A1CFA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064D60" w14:textId="2C008D33" w:rsidR="00C244E1" w:rsidRPr="00C244E1" w:rsidRDefault="00C244E1" w:rsidP="00C244E1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C244E1">
              <w:rPr>
                <w:b/>
                <w:bCs/>
                <w:color w:val="000000"/>
                <w:sz w:val="20"/>
                <w:szCs w:val="20"/>
              </w:rPr>
              <w:t>Lower Order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D3162B" w14:textId="77777777" w:rsidR="00C244E1" w:rsidRPr="007344B9" w:rsidRDefault="00C244E1" w:rsidP="00C244E1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30%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506559A" w14:textId="1FF9294E" w:rsidR="00C244E1" w:rsidRPr="00F42A62" w:rsidRDefault="00F42A62" w:rsidP="00C6143E">
            <w:pPr>
              <w:numPr>
                <w:ilvl w:val="0"/>
                <w:numId w:val="1"/>
              </w:numPr>
              <w:spacing w:after="0" w:line="240" w:lineRule="auto"/>
              <w:ind w:left="480" w:right="120"/>
              <w:contextualSpacing/>
              <w:jc w:val="both"/>
              <w:rPr>
                <w:rFonts w:eastAsia="Times New Roman" w:cstheme="minorHAnsi"/>
                <w:bCs/>
                <w:color w:val="000000"/>
                <w:lang w:val="en-US" w:eastAsia="en-SG"/>
              </w:rPr>
            </w:pPr>
            <w:r w:rsidRPr="00F42A62">
              <w:rPr>
                <w:rFonts w:eastAsia="Times New Roman" w:cstheme="minorHAnsi"/>
                <w:bCs/>
                <w:lang w:eastAsia="en-SG"/>
              </w:rPr>
              <w:t>explain the concept, definition, characteristics, and history of Malay culture development.</w:t>
            </w:r>
          </w:p>
        </w:tc>
      </w:tr>
      <w:tr w:rsidR="00C244E1" w:rsidRPr="007344B9" w14:paraId="5A8FC4DE" w14:textId="77777777" w:rsidTr="007A1CFA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995ACF" w14:textId="21082282" w:rsidR="00C244E1" w:rsidRPr="00C244E1" w:rsidRDefault="00C244E1" w:rsidP="00C244E1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C244E1">
              <w:rPr>
                <w:b/>
                <w:bCs/>
                <w:color w:val="000000"/>
                <w:sz w:val="20"/>
                <w:szCs w:val="20"/>
              </w:rPr>
              <w:t>Middle Order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3D9BC2" w14:textId="77777777" w:rsidR="00C244E1" w:rsidRPr="007344B9" w:rsidRDefault="00C244E1" w:rsidP="00C244E1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40%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5E34994" w14:textId="77777777" w:rsidR="00CE0B9A" w:rsidRPr="00CE0B9A" w:rsidRDefault="00CE0B9A" w:rsidP="00C6143E">
            <w:pPr>
              <w:numPr>
                <w:ilvl w:val="0"/>
                <w:numId w:val="2"/>
              </w:numPr>
              <w:spacing w:before="40" w:after="40" w:line="240" w:lineRule="auto"/>
              <w:ind w:left="480" w:right="120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n-US" w:eastAsia="en-SG"/>
              </w:rPr>
            </w:pPr>
            <w:r w:rsidRPr="00CE0B9A">
              <w:rPr>
                <w:rFonts w:cstheme="minorHAnsi"/>
              </w:rPr>
              <w:t>identify the relationship and importance of Malay culture with other aspects of knowledge such as the world view of the Malay community in the Malay World, including Brunei Darussalam</w:t>
            </w:r>
            <w:r w:rsidRPr="00CE0B9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0AF617" w14:textId="235A2CF2" w:rsidR="00C244E1" w:rsidRPr="00511963" w:rsidRDefault="00511963" w:rsidP="00C6143E">
            <w:pPr>
              <w:numPr>
                <w:ilvl w:val="0"/>
                <w:numId w:val="2"/>
              </w:numPr>
              <w:spacing w:before="40" w:after="40" w:line="240" w:lineRule="auto"/>
              <w:ind w:left="480" w:right="120"/>
              <w:contextualSpacing/>
              <w:jc w:val="both"/>
              <w:rPr>
                <w:rFonts w:eastAsia="Times New Roman" w:cstheme="minorHAnsi"/>
                <w:color w:val="000000"/>
                <w:lang w:val="en-US" w:eastAsia="en-SG"/>
              </w:rPr>
            </w:pPr>
            <w:r w:rsidRPr="00511963">
              <w:rPr>
                <w:rFonts w:cstheme="minorHAnsi"/>
                <w:lang w:eastAsia="en-SG"/>
              </w:rPr>
              <w:t>apply what they've learned about Malay culture when studying the Malay community in the Malay World</w:t>
            </w:r>
            <w:r w:rsidR="00C244E1" w:rsidRPr="00511963">
              <w:rPr>
                <w:rFonts w:cstheme="minorHAnsi"/>
              </w:rPr>
              <w:t>.</w:t>
            </w:r>
          </w:p>
        </w:tc>
      </w:tr>
      <w:tr w:rsidR="00C244E1" w:rsidRPr="007344B9" w14:paraId="2403DEE2" w14:textId="77777777" w:rsidTr="007A1CFA">
        <w:trPr>
          <w:jc w:val="center"/>
        </w:trPr>
        <w:tc>
          <w:tcPr>
            <w:tcW w:w="18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8063CB" w14:textId="0CEC7EC3" w:rsidR="00C244E1" w:rsidRPr="00C244E1" w:rsidRDefault="00C244E1" w:rsidP="00C244E1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C244E1">
              <w:rPr>
                <w:b/>
                <w:bCs/>
                <w:color w:val="000000"/>
                <w:sz w:val="20"/>
                <w:szCs w:val="20"/>
              </w:rPr>
              <w:t>Upper Order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hideMark/>
          </w:tcPr>
          <w:p w14:paraId="50815935" w14:textId="77777777" w:rsidR="00C244E1" w:rsidRPr="007344B9" w:rsidRDefault="00C244E1" w:rsidP="00C244E1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</w:pPr>
            <w:r w:rsidRPr="007344B9">
              <w:rPr>
                <w:rFonts w:ascii="Calibri" w:eastAsia="Times New Roman" w:hAnsi="Calibri" w:cs="Times New Roman"/>
                <w:bCs/>
                <w:color w:val="000000"/>
                <w:lang w:eastAsia="en-SG"/>
              </w:rPr>
              <w:t>30%</w:t>
            </w:r>
          </w:p>
        </w:tc>
        <w:tc>
          <w:tcPr>
            <w:tcW w:w="804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D4826C4" w14:textId="66F59C78" w:rsidR="00C244E1" w:rsidRPr="0034002B" w:rsidRDefault="0034002B" w:rsidP="00C6143E">
            <w:pPr>
              <w:numPr>
                <w:ilvl w:val="0"/>
                <w:numId w:val="3"/>
              </w:numPr>
              <w:spacing w:after="0" w:line="288" w:lineRule="auto"/>
              <w:ind w:left="480" w:right="120"/>
              <w:contextualSpacing/>
              <w:rPr>
                <w:rFonts w:eastAsia="Times New Roman" w:cstheme="minorHAnsi"/>
                <w:bCs/>
                <w:color w:val="000000"/>
                <w:lang w:val="en-US" w:eastAsia="en-SG"/>
              </w:rPr>
            </w:pPr>
            <w:r w:rsidRPr="0034002B">
              <w:rPr>
                <w:rFonts w:cstheme="minorHAnsi"/>
              </w:rPr>
              <w:t>evaluate and discuss the significance of Malay culture based on the text and environment explored.</w:t>
            </w:r>
          </w:p>
        </w:tc>
      </w:tr>
      <w:tr w:rsidR="00015C42" w:rsidRPr="007344B9" w14:paraId="6CFF440E" w14:textId="77777777" w:rsidTr="00EC5CBF">
        <w:trPr>
          <w:jc w:val="center"/>
        </w:trPr>
        <w:tc>
          <w:tcPr>
            <w:tcW w:w="10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2EF475" w14:textId="2C65073E" w:rsidR="005A2D11" w:rsidRPr="00AE1E3D" w:rsidRDefault="005A2D11" w:rsidP="005A2D11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AE1E3D">
              <w:rPr>
                <w:rFonts w:cstheme="minorHAnsi"/>
                <w:b/>
                <w:color w:val="000000"/>
              </w:rPr>
              <w:t>Module Contents</w:t>
            </w:r>
          </w:p>
          <w:p w14:paraId="4A7FD7BD" w14:textId="19667B82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Concepts, definitions</w:t>
            </w:r>
            <w:r w:rsidR="00206006">
              <w:rPr>
                <w:rFonts w:cstheme="minorHAnsi"/>
                <w:lang w:eastAsia="en-SG"/>
              </w:rPr>
              <w:t>,</w:t>
            </w:r>
            <w:r w:rsidRPr="00AE1E3D">
              <w:rPr>
                <w:rFonts w:cstheme="minorHAnsi"/>
                <w:lang w:eastAsia="en-SG"/>
              </w:rPr>
              <w:t xml:space="preserve"> and characteristics of culture</w:t>
            </w:r>
          </w:p>
          <w:p w14:paraId="2584507E" w14:textId="35D1DC7C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Society, Culture and Malay Tradition</w:t>
            </w:r>
          </w:p>
          <w:p w14:paraId="6010BBA7" w14:textId="3CCAADF9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History and development of Malay culture</w:t>
            </w:r>
          </w:p>
          <w:p w14:paraId="7CFBD340" w14:textId="0B9CEE31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Islam, customs, beliefs</w:t>
            </w:r>
            <w:r w:rsidR="00206006">
              <w:rPr>
                <w:rFonts w:cstheme="minorHAnsi"/>
                <w:lang w:eastAsia="en-SG"/>
              </w:rPr>
              <w:t>,</w:t>
            </w:r>
            <w:r w:rsidRPr="00AE1E3D">
              <w:rPr>
                <w:rFonts w:cstheme="minorHAnsi"/>
                <w:lang w:eastAsia="en-SG"/>
              </w:rPr>
              <w:t xml:space="preserve"> and Malay medicine</w:t>
            </w:r>
          </w:p>
          <w:p w14:paraId="63E4396E" w14:textId="5E2BEEFF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The Malay community lineage system</w:t>
            </w:r>
          </w:p>
          <w:p w14:paraId="457C227A" w14:textId="1E6A779D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Malay government system, administration</w:t>
            </w:r>
            <w:r w:rsidR="00206006">
              <w:rPr>
                <w:rFonts w:cstheme="minorHAnsi"/>
                <w:lang w:eastAsia="en-SG"/>
              </w:rPr>
              <w:t>,</w:t>
            </w:r>
            <w:r w:rsidRPr="00AE1E3D">
              <w:rPr>
                <w:rFonts w:cstheme="minorHAnsi"/>
                <w:lang w:eastAsia="en-SG"/>
              </w:rPr>
              <w:t xml:space="preserve"> and commerce</w:t>
            </w:r>
          </w:p>
          <w:p w14:paraId="46438347" w14:textId="757B8325" w:rsidR="00662F9D" w:rsidRPr="00AE1E3D" w:rsidRDefault="00662F9D" w:rsidP="00AE1E3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  <w:lang w:eastAsia="en-SG"/>
              </w:rPr>
            </w:pPr>
            <w:r w:rsidRPr="00AE1E3D">
              <w:rPr>
                <w:rFonts w:cstheme="minorHAnsi"/>
                <w:lang w:eastAsia="en-SG"/>
              </w:rPr>
              <w:t>Malay language, literature</w:t>
            </w:r>
            <w:r w:rsidR="00206006">
              <w:rPr>
                <w:rFonts w:cstheme="minorHAnsi"/>
                <w:lang w:eastAsia="en-SG"/>
              </w:rPr>
              <w:t>,</w:t>
            </w:r>
            <w:r w:rsidRPr="00AE1E3D">
              <w:rPr>
                <w:rFonts w:cstheme="minorHAnsi"/>
                <w:lang w:eastAsia="en-SG"/>
              </w:rPr>
              <w:t xml:space="preserve"> and art</w:t>
            </w:r>
          </w:p>
          <w:p w14:paraId="5370E095" w14:textId="1E631CBA" w:rsidR="0021495C" w:rsidRPr="00AE1E3D" w:rsidRDefault="00662F9D" w:rsidP="00AE1E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AE1E3D">
              <w:rPr>
                <w:rFonts w:cstheme="minorHAnsi"/>
                <w:lang w:eastAsia="en-SG"/>
              </w:rPr>
              <w:t>Globalization, issues, challenges</w:t>
            </w:r>
            <w:r w:rsidR="00206006">
              <w:rPr>
                <w:rFonts w:cstheme="minorHAnsi"/>
                <w:lang w:eastAsia="en-SG"/>
              </w:rPr>
              <w:t>,</w:t>
            </w:r>
            <w:r w:rsidRPr="00AE1E3D">
              <w:rPr>
                <w:rFonts w:cstheme="minorHAnsi"/>
                <w:lang w:eastAsia="en-SG"/>
              </w:rPr>
              <w:t xml:space="preserve"> and future</w:t>
            </w:r>
          </w:p>
          <w:p w14:paraId="363B42BE" w14:textId="77777777" w:rsidR="00AE1E3D" w:rsidRPr="00AE1E3D" w:rsidRDefault="00AE1E3D" w:rsidP="00AE1E3D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color w:val="000000"/>
                <w:lang w:val="en-US"/>
              </w:rPr>
            </w:pPr>
          </w:p>
          <w:p w14:paraId="1CC92E3B" w14:textId="44783AB4" w:rsidR="00AE1E3D" w:rsidRPr="00AE1E3D" w:rsidRDefault="00AE1E3D" w:rsidP="00AE1E3D">
            <w:pPr>
              <w:pStyle w:val="ListParagraph"/>
              <w:spacing w:after="0" w:line="240" w:lineRule="auto"/>
              <w:jc w:val="both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E53426" w:rsidRPr="007344B9" w14:paraId="4FD96191" w14:textId="77777777" w:rsidTr="00EC5CBF">
        <w:trPr>
          <w:jc w:val="center"/>
        </w:trPr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B6E3" w14:textId="675B7B6E" w:rsidR="00E53426" w:rsidRPr="00E53426" w:rsidRDefault="00E53426" w:rsidP="00E53426">
            <w:pPr>
              <w:spacing w:after="0" w:line="288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E53426">
              <w:rPr>
                <w:b/>
              </w:rPr>
              <w:t>Assessment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E838" w14:textId="45E8B493" w:rsidR="00E53426" w:rsidRPr="00E53426" w:rsidRDefault="00E53426" w:rsidP="00E53426">
            <w:pPr>
              <w:pStyle w:val="NoSpacing"/>
              <w:rPr>
                <w:b/>
                <w:bCs/>
              </w:rPr>
            </w:pPr>
            <w:r w:rsidRPr="00E53426">
              <w:rPr>
                <w:b/>
                <w:bCs/>
              </w:rPr>
              <w:t>Formative Assessment</w:t>
            </w:r>
          </w:p>
        </w:tc>
        <w:tc>
          <w:tcPr>
            <w:tcW w:w="673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52F5" w14:textId="6F528FAA" w:rsidR="00E53426" w:rsidRPr="00271E1A" w:rsidRDefault="00E53426" w:rsidP="00E53426">
            <w:pPr>
              <w:spacing w:after="0" w:line="240" w:lineRule="auto"/>
            </w:pPr>
            <w:r w:rsidRPr="00271E1A">
              <w:t>Weekly discussion and feedback.</w:t>
            </w:r>
          </w:p>
          <w:p w14:paraId="586FB0AA" w14:textId="1A9A9330" w:rsidR="00E53426" w:rsidRPr="007344B9" w:rsidRDefault="00E53426" w:rsidP="00E53426">
            <w:pPr>
              <w:spacing w:after="0" w:line="288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</w:tr>
      <w:tr w:rsidR="00E53426" w:rsidRPr="007344B9" w14:paraId="2DD79135" w14:textId="77777777" w:rsidTr="00701A2A">
        <w:trPr>
          <w:trHeight w:val="431"/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hideMark/>
          </w:tcPr>
          <w:p w14:paraId="6180E286" w14:textId="77777777" w:rsidR="00E53426" w:rsidRPr="00E53426" w:rsidRDefault="00E53426" w:rsidP="00E53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215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0945" w14:textId="20FAAA9C" w:rsidR="00E53426" w:rsidRPr="00E53426" w:rsidRDefault="00E53426" w:rsidP="00E53426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  <w:r w:rsidRPr="00E53426">
              <w:rPr>
                <w:b/>
                <w:bCs/>
              </w:rPr>
              <w:t>Summative Assessment</w:t>
            </w:r>
          </w:p>
        </w:tc>
        <w:tc>
          <w:tcPr>
            <w:tcW w:w="6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66B2" w14:textId="7F5D7051" w:rsidR="00E53426" w:rsidRPr="007344B9" w:rsidRDefault="00E53426" w:rsidP="00E53426">
            <w:pPr>
              <w:spacing w:after="0" w:line="288" w:lineRule="auto"/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SG"/>
              </w:rPr>
              <w:t>Exam</w:t>
            </w:r>
            <w:r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>: 50%</w:t>
            </w:r>
          </w:p>
        </w:tc>
      </w:tr>
      <w:tr w:rsidR="00092935" w:rsidRPr="007344B9" w14:paraId="37CD8273" w14:textId="77777777" w:rsidTr="00EC5CBF">
        <w:trPr>
          <w:jc w:val="center"/>
        </w:trPr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EA703A" w14:textId="77777777" w:rsidR="00092935" w:rsidRPr="007344B9" w:rsidRDefault="00092935" w:rsidP="00092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215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E02FF8" w14:textId="77777777" w:rsidR="00092935" w:rsidRPr="007344B9" w:rsidRDefault="00092935" w:rsidP="00092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SG"/>
              </w:rPr>
            </w:pPr>
          </w:p>
        </w:tc>
        <w:tc>
          <w:tcPr>
            <w:tcW w:w="67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2134" w14:textId="289E7B76" w:rsidR="00092935" w:rsidRPr="007344B9" w:rsidRDefault="000F4C06" w:rsidP="00092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ms-MY"/>
              </w:rPr>
              <w:t>Coursework</w:t>
            </w:r>
            <w:r w:rsidR="00092935" w:rsidRPr="007344B9">
              <w:rPr>
                <w:rFonts w:ascii="Calibri" w:eastAsia="Times New Roman" w:hAnsi="Calibri" w:cs="Times New Roman"/>
                <w:color w:val="000000"/>
                <w:lang w:eastAsia="en-SG"/>
              </w:rPr>
              <w:t xml:space="preserve">: 50 %    </w:t>
            </w:r>
            <w:r w:rsidR="00092935"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</w:t>
            </w:r>
          </w:p>
          <w:p w14:paraId="0F0F6EC8" w14:textId="60DE4E72" w:rsidR="00092935" w:rsidRPr="007344B9" w:rsidRDefault="00092935" w:rsidP="000929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2 </w:t>
            </w:r>
            <w:r w:rsidR="000F4C06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Individual short </w:t>
            </w:r>
            <w:r w:rsidR="00867B14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essays               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30% </w:t>
            </w:r>
          </w:p>
          <w:p w14:paraId="5E19AC8C" w14:textId="4B745477" w:rsidR="00092935" w:rsidRPr="007344B9" w:rsidRDefault="00092935" w:rsidP="000929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ms-MY"/>
              </w:rPr>
            </w:pP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1 </w:t>
            </w:r>
            <w:r w:rsidR="00CA0567">
              <w:rPr>
                <w:rFonts w:ascii="Calibri" w:eastAsia="Times New Roman" w:hAnsi="Calibri" w:cs="Times New Roman"/>
                <w:color w:val="000000"/>
                <w:lang w:val="ms-MY"/>
              </w:rPr>
              <w:t>Group report/test</w:t>
            </w:r>
            <w:r w:rsidR="00867B14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       </w:t>
            </w:r>
            <w:r w:rsidRPr="007344B9">
              <w:rPr>
                <w:rFonts w:ascii="Calibri" w:eastAsia="Times New Roman" w:hAnsi="Calibri" w:cs="Times New Roman"/>
                <w:color w:val="000000"/>
                <w:lang w:val="ms-MY"/>
              </w:rPr>
              <w:t xml:space="preserve">10%  </w:t>
            </w:r>
          </w:p>
          <w:p w14:paraId="242C1AEF" w14:textId="77777777" w:rsidR="00271E1A" w:rsidRDefault="00092935" w:rsidP="00271E1A">
            <w:pPr>
              <w:pStyle w:val="NoSpacing"/>
              <w:numPr>
                <w:ilvl w:val="0"/>
                <w:numId w:val="3"/>
              </w:numPr>
              <w:rPr>
                <w:lang w:val="ms-MY"/>
              </w:rPr>
            </w:pPr>
            <w:r w:rsidRPr="007344B9">
              <w:rPr>
                <w:lang w:val="ms-MY"/>
              </w:rPr>
              <w:t xml:space="preserve">1 </w:t>
            </w:r>
            <w:r w:rsidR="00867B14">
              <w:rPr>
                <w:lang w:val="ms-MY"/>
              </w:rPr>
              <w:t>Group presentation</w:t>
            </w:r>
            <w:r w:rsidRPr="007344B9">
              <w:rPr>
                <w:lang w:val="ms-MY"/>
              </w:rPr>
              <w:t xml:space="preserve"> </w:t>
            </w:r>
            <w:r>
              <w:rPr>
                <w:lang w:val="ms-MY"/>
              </w:rPr>
              <w:t xml:space="preserve">        </w:t>
            </w:r>
            <w:r w:rsidRPr="007344B9">
              <w:rPr>
                <w:lang w:val="ms-MY"/>
              </w:rPr>
              <w:t xml:space="preserve">             10%</w:t>
            </w:r>
          </w:p>
          <w:p w14:paraId="26417260" w14:textId="0CE0B929" w:rsidR="00855A5E" w:rsidRPr="00271E1A" w:rsidRDefault="00855A5E" w:rsidP="00855A5E">
            <w:pPr>
              <w:pStyle w:val="NoSpacing"/>
              <w:ind w:left="420"/>
              <w:rPr>
                <w:lang w:val="ms-MY"/>
              </w:rPr>
            </w:pPr>
          </w:p>
        </w:tc>
      </w:tr>
    </w:tbl>
    <w:p w14:paraId="17F39741" w14:textId="77777777" w:rsidR="00015C42" w:rsidRDefault="00015C42" w:rsidP="00BC54C4"/>
    <w:sectPr w:rsidR="0001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1E"/>
    <w:multiLevelType w:val="hybridMultilevel"/>
    <w:tmpl w:val="1CEE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222B"/>
    <w:multiLevelType w:val="hybridMultilevel"/>
    <w:tmpl w:val="8CFC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37CB"/>
    <w:multiLevelType w:val="hybridMultilevel"/>
    <w:tmpl w:val="F90E345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4F684F"/>
    <w:multiLevelType w:val="hybridMultilevel"/>
    <w:tmpl w:val="E6E4563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6D44B26"/>
    <w:multiLevelType w:val="hybridMultilevel"/>
    <w:tmpl w:val="509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398E"/>
    <w:multiLevelType w:val="hybridMultilevel"/>
    <w:tmpl w:val="89F8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A6873"/>
    <w:multiLevelType w:val="hybridMultilevel"/>
    <w:tmpl w:val="C190265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DE1756F"/>
    <w:multiLevelType w:val="hybridMultilevel"/>
    <w:tmpl w:val="9E06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6723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6E"/>
    <w:rsid w:val="00015C42"/>
    <w:rsid w:val="00024628"/>
    <w:rsid w:val="00087159"/>
    <w:rsid w:val="00092935"/>
    <w:rsid w:val="000965D3"/>
    <w:rsid w:val="000F4C06"/>
    <w:rsid w:val="00166859"/>
    <w:rsid w:val="001B447F"/>
    <w:rsid w:val="00206006"/>
    <w:rsid w:val="0021495C"/>
    <w:rsid w:val="0022502C"/>
    <w:rsid w:val="00252D6E"/>
    <w:rsid w:val="00263B76"/>
    <w:rsid w:val="00271E1A"/>
    <w:rsid w:val="0027264E"/>
    <w:rsid w:val="002937F0"/>
    <w:rsid w:val="00297481"/>
    <w:rsid w:val="002D0FB9"/>
    <w:rsid w:val="003216C8"/>
    <w:rsid w:val="0034002B"/>
    <w:rsid w:val="003910BE"/>
    <w:rsid w:val="003C1B5D"/>
    <w:rsid w:val="003C5B0A"/>
    <w:rsid w:val="003F3336"/>
    <w:rsid w:val="00402B18"/>
    <w:rsid w:val="00511963"/>
    <w:rsid w:val="0051697C"/>
    <w:rsid w:val="00562FF8"/>
    <w:rsid w:val="00565864"/>
    <w:rsid w:val="005A2D11"/>
    <w:rsid w:val="005A4B20"/>
    <w:rsid w:val="00622A7B"/>
    <w:rsid w:val="00662F9D"/>
    <w:rsid w:val="00715B28"/>
    <w:rsid w:val="007403E5"/>
    <w:rsid w:val="00776358"/>
    <w:rsid w:val="007A1CFA"/>
    <w:rsid w:val="00854AEC"/>
    <w:rsid w:val="00855A5E"/>
    <w:rsid w:val="00867B14"/>
    <w:rsid w:val="008A544D"/>
    <w:rsid w:val="009024EE"/>
    <w:rsid w:val="00921759"/>
    <w:rsid w:val="009804EA"/>
    <w:rsid w:val="009A6B4D"/>
    <w:rsid w:val="009D57F6"/>
    <w:rsid w:val="00A103C3"/>
    <w:rsid w:val="00A54F22"/>
    <w:rsid w:val="00A76D35"/>
    <w:rsid w:val="00AB0C03"/>
    <w:rsid w:val="00AE1E3D"/>
    <w:rsid w:val="00AE5134"/>
    <w:rsid w:val="00B57A94"/>
    <w:rsid w:val="00B61065"/>
    <w:rsid w:val="00B668B9"/>
    <w:rsid w:val="00BC54C4"/>
    <w:rsid w:val="00BE00E1"/>
    <w:rsid w:val="00C0431E"/>
    <w:rsid w:val="00C244E1"/>
    <w:rsid w:val="00C248CA"/>
    <w:rsid w:val="00C6143E"/>
    <w:rsid w:val="00C7404F"/>
    <w:rsid w:val="00CA0567"/>
    <w:rsid w:val="00CD1DDF"/>
    <w:rsid w:val="00CE0B9A"/>
    <w:rsid w:val="00CE4A54"/>
    <w:rsid w:val="00D32793"/>
    <w:rsid w:val="00E00438"/>
    <w:rsid w:val="00E53426"/>
    <w:rsid w:val="00F02C12"/>
    <w:rsid w:val="00F14A33"/>
    <w:rsid w:val="00F363C7"/>
    <w:rsid w:val="00F42A62"/>
    <w:rsid w:val="00F66B86"/>
    <w:rsid w:val="00FC7775"/>
    <w:rsid w:val="00FD043F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2823"/>
  <w15:docId w15:val="{9C79086A-149A-4DD0-B2E2-1F14F00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6E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4D"/>
    <w:rPr>
      <w:rFonts w:ascii="Segoe UI" w:hAnsi="Segoe UI" w:cs="Segoe UI"/>
      <w:sz w:val="18"/>
      <w:szCs w:val="18"/>
      <w:lang w:val="en-SG"/>
    </w:rPr>
  </w:style>
  <w:style w:type="paragraph" w:styleId="NoSpacing">
    <w:name w:val="No Spacing"/>
    <w:uiPriority w:val="1"/>
    <w:qFormat/>
    <w:rsid w:val="00E53426"/>
    <w:pPr>
      <w:spacing w:after="0" w:line="240" w:lineRule="auto"/>
    </w:pPr>
    <w:rPr>
      <w:lang w:val="en-SG"/>
    </w:rPr>
  </w:style>
  <w:style w:type="paragraph" w:styleId="ListParagraph">
    <w:name w:val="List Paragraph"/>
    <w:basedOn w:val="Normal"/>
    <w:uiPriority w:val="34"/>
    <w:qFormat/>
    <w:rsid w:val="0066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07fcfdcc-2900-489d-857d-bdf463d7425a" xsi:nil="true"/>
    <Owner xmlns="07fcfdcc-2900-489d-857d-bdf463d7425a">
      <UserInfo>
        <DisplayName/>
        <AccountId xsi:nil="true"/>
        <AccountType/>
      </UserInfo>
    </Owner>
    <Students xmlns="07fcfdcc-2900-489d-857d-bdf463d7425a">
      <UserInfo>
        <DisplayName/>
        <AccountId xsi:nil="true"/>
        <AccountType/>
      </UserInfo>
    </Students>
    <Has_Teacher_Only_SectionGroup xmlns="07fcfdcc-2900-489d-857d-bdf463d7425a" xsi:nil="true"/>
    <Invited_Teachers xmlns="07fcfdcc-2900-489d-857d-bdf463d7425a" xsi:nil="true"/>
    <Invited_Students xmlns="07fcfdcc-2900-489d-857d-bdf463d7425a" xsi:nil="true"/>
    <CultureName xmlns="07fcfdcc-2900-489d-857d-bdf463d7425a" xsi:nil="true"/>
    <Distribution_Groups xmlns="07fcfdcc-2900-489d-857d-bdf463d7425a" xsi:nil="true"/>
    <TeamsChannelId xmlns="07fcfdcc-2900-489d-857d-bdf463d7425a" xsi:nil="true"/>
    <Teachers xmlns="07fcfdcc-2900-489d-857d-bdf463d7425a">
      <UserInfo>
        <DisplayName/>
        <AccountId xsi:nil="true"/>
        <AccountType/>
      </UserInfo>
    </Teachers>
    <Math_Settings xmlns="07fcfdcc-2900-489d-857d-bdf463d7425a" xsi:nil="true"/>
    <AppVersion xmlns="07fcfdcc-2900-489d-857d-bdf463d7425a" xsi:nil="true"/>
    <LMS_Mappings xmlns="07fcfdcc-2900-489d-857d-bdf463d7425a" xsi:nil="true"/>
    <FolderType xmlns="07fcfdcc-2900-489d-857d-bdf463d7425a" xsi:nil="true"/>
    <Self_Registration_Enabled xmlns="07fcfdcc-2900-489d-857d-bdf463d7425a" xsi:nil="true"/>
    <DefaultSectionNames xmlns="07fcfdcc-2900-489d-857d-bdf463d7425a" xsi:nil="true"/>
    <IsNotebookLocked xmlns="07fcfdcc-2900-489d-857d-bdf463d7425a" xsi:nil="true"/>
    <NotebookType xmlns="07fcfdcc-2900-489d-857d-bdf463d7425a" xsi:nil="true"/>
    <Student_Groups xmlns="07fcfdcc-2900-489d-857d-bdf463d7425a">
      <UserInfo>
        <DisplayName/>
        <AccountId xsi:nil="true"/>
        <AccountType/>
      </UserInfo>
    </Student_Groups>
    <Templates xmlns="07fcfdcc-2900-489d-857d-bdf463d742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D161240FDAD499B84200B96CD9016" ma:contentTypeVersion="33" ma:contentTypeDescription="Create a new document." ma:contentTypeScope="" ma:versionID="48a26a54090034be3113dbab0163703a">
  <xsd:schema xmlns:xsd="http://www.w3.org/2001/XMLSchema" xmlns:xs="http://www.w3.org/2001/XMLSchema" xmlns:p="http://schemas.microsoft.com/office/2006/metadata/properties" xmlns:ns3="07fcfdcc-2900-489d-857d-bdf463d7425a" xmlns:ns4="04367962-2d61-4756-acac-271eee5d6d1f" targetNamespace="http://schemas.microsoft.com/office/2006/metadata/properties" ma:root="true" ma:fieldsID="afb02f82525f877b534d18021d35067a" ns3:_="" ns4:_="">
    <xsd:import namespace="07fcfdcc-2900-489d-857d-bdf463d7425a"/>
    <xsd:import namespace="04367962-2d61-4756-acac-271eee5d6d1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cfdcc-2900-489d-857d-bdf463d7425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7962-2d61-4756-acac-271eee5d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550A2-5B88-4C4E-B8F8-6D1C43DF9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5C46B-58AA-4D6E-81D9-D35EAB709883}">
  <ds:schemaRefs>
    <ds:schemaRef ds:uri="http://schemas.microsoft.com/office/2006/metadata/properties"/>
    <ds:schemaRef ds:uri="http://schemas.microsoft.com/office/infopath/2007/PartnerControls"/>
    <ds:schemaRef ds:uri="07fcfdcc-2900-489d-857d-bdf463d7425a"/>
  </ds:schemaRefs>
</ds:datastoreItem>
</file>

<file path=customXml/itemProps3.xml><?xml version="1.0" encoding="utf-8"?>
<ds:datastoreItem xmlns:ds="http://schemas.openxmlformats.org/officeDocument/2006/customXml" ds:itemID="{A54D5E10-8B4E-4F89-9ECE-E626A9B4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cfdcc-2900-489d-857d-bdf463d7425a"/>
    <ds:schemaRef ds:uri="04367962-2d61-4756-acac-271eee5d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5</dc:creator>
  <cp:lastModifiedBy>Ena Herni binti Wasli</cp:lastModifiedBy>
  <cp:revision>5</cp:revision>
  <cp:lastPrinted>2021-05-03T04:28:00Z</cp:lastPrinted>
  <dcterms:created xsi:type="dcterms:W3CDTF">2022-02-21T10:23:00Z</dcterms:created>
  <dcterms:modified xsi:type="dcterms:W3CDTF">2022-03-11T05:20:00Z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0x0101005A0D161240FDAD499B84200B96CD9016</vt:lpwstr>
  </property>
</Properties>
</file>